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001/2024 - 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DE CULTURA E IGUALDADE RACIAL - LAVRAS DA MANGABEIRA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[DIVERSAS LINGUAGENS]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0">
      <w:pPr>
        <w:spacing w:before="280" w:line="240" w:lineRule="auto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-1080130</wp:posOffset>
          </wp:positionH>
          <wp:positionV relativeFrom="paragraph">
            <wp:posOffset>-433672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Nm+MMAWqPmncsUPdlMcDx8dekg==">CgMxLjA4AHIhMXpBVm4zTVcyQTIxdVBOaTYwYUNzRXU0UmtiLUtQUTJP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